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1979, c. 526, §2 (NEW).]</w:t>
      </w:r>
    </w:p>
    <w:p>
      <w:pPr>
        <w:jc w:val="both"/>
        <w:spacing w:before="100" w:after="0"/>
        <w:ind w:start="360"/>
        <w:ind w:firstLine="360"/>
      </w:pPr>
      <w:r>
        <w:rPr>
          <w:b/>
        </w:rPr>
        <w:t>1</w:t>
        <w:t xml:space="preserve">.  </w:t>
      </w:r>
      <w:r>
        <w:rPr>
          <w:b/>
        </w:rPr>
        <w:t xml:space="preserve">Commission.</w:t>
        <w:t xml:space="preserve"> </w:t>
      </w:r>
      <w:r>
        <w:t xml:space="preserve"> </w:t>
      </w:r>
      <w:r>
        <w:t xml:space="preserve">"Commission" means the Maine State Museum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526, §2 (NEW).]</w:t>
      </w:r>
    </w:p>
    <w:p>
      <w:pPr>
        <w:jc w:val="both"/>
        <w:spacing w:before="100" w:after="0"/>
        <w:ind w:start="360"/>
        <w:ind w:firstLine="360"/>
      </w:pPr>
      <w:r>
        <w:rPr>
          <w:b/>
        </w:rPr>
        <w:t>2</w:t>
        <w:t xml:space="preserve">.  </w:t>
      </w:r>
      <w:r>
        <w:rPr>
          <w:b/>
        </w:rPr>
        <w:t xml:space="preserve">Work of art.</w:t>
        <w:t xml:space="preserve"> </w:t>
      </w:r>
      <w:r>
        <w:t xml:space="preserve"> </w:t>
      </w:r>
      <w:r>
        <w:t xml:space="preserve">"Work of art" includes any painting, portrait, mural, decoration, stained glass, statue, tablet, bas-relief, ornament, fountain or other article or structure of a permanent character intended for decoration or commemoration, and any historical material defined in </w:t>
      </w:r>
      <w:r>
        <w:t>section 86‑A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526,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526,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§91.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