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LICENSES FOR THE SALE OF LIQUOR TO BE CONSUMED OFF THE LICENSED PREMISES</w:t>
      </w:r>
    </w:p>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jc w:val="both"/>
        <w:spacing w:before="100" w:after="100"/>
        <w:ind w:start="1080" w:hanging="720"/>
      </w:pPr>
      <w:r>
        <w:rPr>
          <w:b/>
        </w:rPr>
        <w:t>§</w:t>
        <w:t>1201-B</w:t>
        <w:t xml:space="preserve">.  </w:t>
      </w:r>
      <w:r>
        <w:rPr>
          <w:b/>
        </w:rPr>
        <w:t xml:space="preserve">Transfer of wine between retail locations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retailer" means a retailer licensed to sell wine for off-premises consumption that has received approval to sell or transfer wine to a commonly owned retail licensee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"Commonly owned retail licensee" means, with respect to a retailer licensed to sell wine for off-premises consumption, another retailer licensed to sell wine for off-premises consumption if the same person or persons hold a majority ownership interest in both retailers.</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2</w:t>
        <w:t xml:space="preserve">.  </w:t>
      </w:r>
      <w:r>
        <w:rPr>
          <w:b/>
        </w:rPr>
        <w:t xml:space="preserve">Authority to transfer wine between retail locations.</w:t>
        <w:t xml:space="preserve"> </w:t>
      </w:r>
      <w:r>
        <w:t xml:space="preserve"> </w:t>
      </w:r>
      <w:r>
        <w:t xml:space="preserve">Notwithstanding </w:t>
      </w:r>
      <w:r>
        <w:t>section 1201, subsection 3‑A</w:t>
      </w:r>
      <w:r>
        <w:t xml:space="preserve"> and any other provision of this Title to the contrary, an approved retailer may sell or transfer wine by the case or by the bottle to a commonly owned retail licensee under the following conditions:</w:t>
      </w:r>
    </w:p>
    <w:p>
      <w:pPr>
        <w:jc w:val="both"/>
        <w:spacing w:before="100" w:after="0"/>
        <w:ind w:start="720"/>
      </w:pPr>
      <w:r>
        <w:rPr/>
        <w:t>A</w:t>
        <w:t xml:space="preserve">.  </w:t>
      </w:r>
      <w:r>
        <w:rPr/>
      </w:r>
      <w:r>
        <w:t xml:space="preserve">The approved retailer licensed and any commonly owned retail licensee to which wine is transferred or sold must be located within the territory that has been allocated under </w:t>
      </w:r>
      <w:r>
        <w:t>section 1401, subsection 8</w:t>
      </w:r>
      <w:r>
        <w:t xml:space="preserve"> to a single wholesale licensee for the purposes of making wholesale sales of the specific wine product being sold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The approved retailer and any commonly owned retail licensee to which wine is transferred or sold must share an electronic inventory tracking system capable of identifying which retailer has possession of the case or bottle of wine at all times;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The approved retailer shall if necessary designate an area of the licensed premises to which customers do not have access of no more than 750 square feet for the storage of wine and may not store wine in any other area or facility.</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3</w:t>
        <w:t xml:space="preserve">.  </w:t>
      </w:r>
      <w:r>
        <w:rPr>
          <w:b/>
        </w:rPr>
        <w:t xml:space="preserve">Application; approval.</w:t>
        <w:t xml:space="preserve"> </w:t>
      </w:r>
      <w:r>
        <w:t xml:space="preserve"> </w:t>
      </w:r>
      <w:r>
        <w:t xml:space="preserve">A retailer licensed to sell wine for off-premises consumption shall seek approval from the bureau, on a form designated by the bureau, in advance of making an initial sale or transfer of wine to a commonly owned retail licensee under </w:t>
      </w:r>
      <w:r>
        <w:t>subsection 2</w:t>
      </w:r>
      <w:r>
        <w:t xml:space="preserve">. The bureau may not approve an application under this subsection unless the retailer provides sufficient information for the bureau to determine:</w:t>
      </w:r>
    </w:p>
    <w:p>
      <w:pPr>
        <w:jc w:val="both"/>
        <w:spacing w:before="100" w:after="0"/>
        <w:ind w:start="720"/>
      </w:pPr>
      <w:r>
        <w:rPr/>
        <w:t>A</w:t>
        <w:t xml:space="preserve">.  </w:t>
      </w:r>
      <w:r>
        <w:rPr/>
      </w:r>
      <w:r>
        <w:t xml:space="preserve">That each sale or transfer of wine from the retailer to a commonly owned licensee will satisfy the requirements of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That the retailer's electronic inventory tracking system satisfies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That the retailer's storage of wine satisfies the requirements of </w:t>
      </w:r>
      <w:r>
        <w:t>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D</w:t>
        <w:t xml:space="preserve">.  </w:t>
      </w:r>
      <w:r>
        <w:rPr/>
      </w:r>
      <w:r>
        <w:t xml:space="preserve">That the retailer has a safe and secure method for transferring wine to a commonly owned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from a retailer licensed to sell wine for off-premises consumption if the bureau has already approved an application under this subsection from one of the retailer's commonly owned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4</w:t>
        <w:t xml:space="preserve">.  </w:t>
      </w:r>
      <w:r>
        <w:rPr>
          <w:b/>
        </w:rPr>
        <w:t xml:space="preserve">Modification.</w:t>
        <w:t xml:space="preserve"> </w:t>
      </w:r>
      <w:r>
        <w:t xml:space="preserve"> </w:t>
      </w:r>
      <w:r>
        <w:t xml:space="preserve">An approved retailer shall submit a modified application, on a form designated by the bureau, and must receive approval from the bureau prior to:</w:t>
      </w:r>
    </w:p>
    <w:p>
      <w:pPr>
        <w:jc w:val="both"/>
        <w:spacing w:before="100" w:after="0"/>
        <w:ind w:start="720"/>
      </w:pPr>
      <w:r>
        <w:rPr/>
        <w:t>A</w:t>
        <w:t xml:space="preserve">.  </w:t>
      </w:r>
      <w:r>
        <w:rPr/>
      </w:r>
      <w:r>
        <w:t xml:space="preserve">Making an initial sale or transfer of wine products not included in the initial application submitted under </w:t>
      </w:r>
      <w:r>
        <w:t>subsection 3</w:t>
      </w:r>
      <w:r>
        <w:t xml:space="preserve"> or a previously approved modified application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Making an initial sale or transfer of wine to a commonly owned licensee not identified in the initial application submitted under </w:t>
      </w:r>
      <w:r>
        <w:t>subsection 3</w:t>
      </w:r>
      <w:r>
        <w:t xml:space="preserve"> or a previously approved modified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unless the bureau determines that the approved retailer will continue to meet the requirements of </w:t>
      </w:r>
      <w:r>
        <w:t>subsection 3</w:t>
      </w:r>
      <w:r>
        <w:t xml:space="preserve"> if the modification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any penalty that may be imposed under </w:t>
      </w:r>
      <w:r>
        <w:t>chapter 33</w:t>
      </w:r>
      <w:r>
        <w:t xml:space="preserve">, the bureau may prohibit a retailer licensed to sell wine for off-premises consumption that violates any provision of this section or of any rule adopted by the bureau to implement this section from engaging in the activities authorized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 </w:t>
      </w:r>
    </w:p>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jc w:val="both"/>
        <w:spacing w:before="100" w:after="100"/>
        <w:ind w:start="1080" w:hanging="720"/>
      </w:pPr>
      <w:r>
        <w:rPr>
          <w:b/>
        </w:rPr>
        <w:t>§</w:t>
        <w:t>1207</w:t>
        <w:t xml:space="preserve">.  </w:t>
      </w:r>
      <w:r>
        <w:rPr>
          <w:b/>
        </w:rPr>
        <w:t xml:space="preserve">Taste testing of malt liquor</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labels of malt liquor to conduct taste testing of malt liquor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§220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Malt 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and,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C</w:t>
        <w:t xml:space="preserve">.  </w:t>
      </w:r>
      <w:r>
        <w:rPr/>
      </w:r>
      <w:r>
        <w:t xml:space="preserve">A person may not be charged a fee for any malt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1205</w:t>
      </w:r>
      <w:r>
        <w:t xml:space="preserve">, the retail licensee may offer spirits and wine for tasting at the same time as malt liquor.</w:t>
      </w:r>
      <w:r>
        <w:t xml:space="preserve">  </w:t>
      </w:r>
      <w:r xmlns:wp="http://schemas.openxmlformats.org/drawingml/2010/wordprocessingDrawing" xmlns:w15="http://schemas.microsoft.com/office/word/2012/wordml">
        <w:rPr>
          <w:rFonts w:ascii="Arial" w:hAnsi="Arial" w:cs="Arial"/>
          <w:sz w:val="22"/>
          <w:szCs w:val="22"/>
        </w:rPr>
        <w:t xml:space="preserve">[PL 2021, c. 131, §3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§5 (RP).]</w:t>
      </w:r>
    </w:p>
    <w:p>
      <w:pPr>
        <w:jc w:val="both"/>
        <w:spacing w:before="100" w:after="0"/>
        <w:ind w:start="720"/>
      </w:pPr>
      <w:r>
        <w:rPr/>
        <w:t>K-1</w:t>
        <w:t xml:space="preserve">.  </w:t>
      </w:r>
      <w:r>
        <w:rPr/>
      </w:r>
      <w:r>
        <w:t xml:space="preserve">Malt liquor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§6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§44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N</w:t>
        <w:t xml:space="preserve">.  </w:t>
      </w:r>
      <w:r>
        <w:rPr/>
      </w:r>
      <w:r>
        <w:t xml:space="preserve">Malt liquor may be poured for the taste-testing event only by the owner or an employee of the off-premises retail licensee, by a sales representative licensed under </w:t>
      </w:r>
      <w:r>
        <w:t>section 1502</w:t>
      </w:r>
      <w:r>
        <w:t xml:space="preserve"> or, if the manufacturer of the malt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§§5, 6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§222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§28 (AMD).]</w:t>
      </w:r>
    </w:p>
    <w:p>
      <w:pPr>
        <w:jc w:val="both"/>
        <w:spacing w:before="100" w:after="0"/>
        <w:ind w:start="360"/>
      </w:pPr>
      <w:r>
        <w:rPr>
          <w:b w:val="true"/>
          <w:i/>
          <w:caps w:val="true"/>
        </w:rPr>
        <w:t xml:space="preserve">Revisor's Note: </w:t>
      </w:r>
      <w:r>
        <w:t>§1207.  Dual liquor license (As enacted by PL 2009, c. 438, §5 is REALLOCATED TO TITLE 28-A, SECTION 1208)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§5 (NEW). PL 2009, c. 459, §4 (NEW). PL 2009, c. 510, §7 (RAL). PL 2009, c. 510, §§8-11 (AMD). PL 2011, c. 103, §3 (AMD). PL 2013, c. 368, Pt. V, §§44, 45 (AMD). PL 2013, c. 476, Pt. A, §28 (AMD). PL 2015, c. 129, §§6, 7 (AMD). PL 2019, c. 79, §3 (AMD). PL 2021, c. 131, §3 (AMD). PL 2021, c. 658, §§220-222 (AMD). PL 2023, c. 349, §§5, 6 (AMD). </w:t>
      </w:r>
    </w:p>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jc w:val="both"/>
        <w:spacing w:before="100" w:after="100"/>
        <w:ind w:start="1080" w:hanging="720"/>
      </w:pPr>
      <w:r>
        <w:rPr>
          <w:b/>
        </w:rPr>
        <w:t>§</w:t>
        <w:t>1209</w:t>
        <w:t xml:space="preserve">.  </w:t>
      </w:r>
      <w:r>
        <w:rPr>
          <w:b/>
        </w:rPr>
        <w:t xml:space="preserve">Sale of privately held wine by auction</w:t>
      </w:r>
    </w:p>
    <w:p>
      <w:pPr>
        <w:jc w:val="both"/>
        <w:spacing w:before="100" w:after="100"/>
        <w:ind w:start="360"/>
        <w:ind w:firstLine="360"/>
      </w:pPr>
      <w:r>
        <w:rPr/>
      </w:r>
      <w:r>
        <w:rPr/>
      </w:r>
      <w:r>
        <w:t xml:space="preserve">Notwithstanding any provision to the contrary in </w:t>
      </w:r>
      <w:r>
        <w:t>section 1201</w:t>
      </w:r>
      <w:r>
        <w:t xml:space="preserve">, </w:t>
      </w:r>
      <w:r>
        <w:t>chapter 55</w:t>
      </w:r>
      <w:r>
        <w:t xml:space="preserve"> or </w:t>
      </w:r>
      <w:r>
        <w:t>chapter 57</w:t>
      </w:r>
      <w:r>
        <w:t xml:space="preserve">, this section governs wine auctions.</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"Auction permittee" means a person licensed under </w:t>
      </w:r>
      <w:r>
        <w:t>Title 32, section 285</w:t>
      </w:r>
      <w:r>
        <w:t xml:space="preserve"> who is issued a permit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"Fine and rare wine" means a wine that is not available for purchase in this State through a licensed retailer or wholesaler.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"Privately held wine" means fine and rare wine owned for consumption or investment purposes by a person who is not licensed as a liquor manufacturer, retailer, distributor or wholesaler in any state or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"Wine auction" means an event at which an auction permittee auctions privately held wine owned by or consigned to the auction permittee.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2</w:t>
        <w:t xml:space="preserve">.  </w:t>
      </w:r>
      <w:r>
        <w:rPr>
          <w:b/>
        </w:rPr>
        <w:t xml:space="preserve">Wine auctions.</w:t>
        <w:t xml:space="preserve"> </w:t>
      </w:r>
      <w:r>
        <w:t xml:space="preserve"> </w:t>
      </w:r>
      <w:r>
        <w:t xml:space="preserve">A wine auction may be held by an auction permittee only in accordance with this section.  A person legally owning privately held wine may sell or commission for sale the privately held wine to an auction permittee by means of an auction pursuant to this section. Privately held wine may not be auctioned under this section to a person who holds a license under this subpart or </w:t>
      </w:r>
      <w:r>
        <w:t>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3</w:t>
        <w:t xml:space="preserve">.  </w:t>
      </w:r>
      <w:r>
        <w:rPr>
          <w:b/>
        </w:rPr>
        <w:t xml:space="preserve">Permit; fee.</w:t>
        <w:t xml:space="preserve"> </w:t>
      </w:r>
      <w:r>
        <w:t xml:space="preserve"> </w:t>
      </w:r>
      <w:r>
        <w:t xml:space="preserve">Subject to the conditions in </w:t>
      </w:r>
      <w:r>
        <w:t>subsection 4</w:t>
      </w:r>
      <w:r>
        <w:t xml:space="preserve">, the bureau may issue a permit to conduct a wine auction to a person licensed under </w:t>
      </w:r>
      <w:r>
        <w:t>Title 32, section 285</w:t>
      </w:r>
      <w:r>
        <w:t xml:space="preserve"> who applies for a wine auction permit.  A permit issued pursuant to this subsection is valid for the length of the auction, which may not exceed 2 days.  The permit fee for a wine auction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100"/>
        <w:ind w:start="360"/>
        <w:ind w:firstLine="360"/>
      </w:pPr>
      <w:r>
        <w:rPr>
          <w:b/>
        </w:rPr>
        <w:t>4</w:t>
        <w:t xml:space="preserve">.  </w:t>
      </w:r>
      <w:r>
        <w:rPr>
          <w:b/>
        </w:rPr>
        <w:t xml:space="preserve">Conditions.</w:t>
        <w:t xml:space="preserve"> </w:t>
      </w:r>
      <w:r>
        <w:t xml:space="preserve"> </w:t>
      </w:r>
      <w:r>
        <w:t xml:space="preserve">The following conditions apply to a wine auction and a wine auction permit under this section.</w:t>
      </w:r>
    </w:p>
    <w:p>
      <w:pPr>
        <w:jc w:val="both"/>
        <w:spacing w:before="100" w:after="0"/>
        <w:ind w:start="720"/>
      </w:pPr>
      <w:r>
        <w:rPr/>
        <w:t>A</w:t>
        <w:t xml:space="preserve">.  </w:t>
      </w:r>
      <w:r>
        <w:rPr/>
      </w:r>
      <w:r>
        <w:t xml:space="preserve">The auction permittee shall submit to the bureau an inventory of the privately held wine to be sold at the auction on a form determined by the bureau. The inventory form must include the owner of the privately held wine and identifying information as to where the privately held wine was purchased by the owner.  For the purposes of </w:t>
      </w:r>
      <w:r>
        <w:t>subsection 1, paragraph B</w:t>
      </w:r>
      <w:r>
        <w:t xml:space="preserve">, wine is considered fine and rare wine if it is not available for purchase in this State through a licensed retailer or wholesaler at the time the inventory is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The auction permittee shall notify the bureau at least 30 days prior to the auction of the address, date and time scheduled for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The auction permittee shall obtain written verification of the identity of each successful bidder who purchases privately held wine at the wine auction. The information must include, at a minimum, the name and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Privately held wine sold at the wine auction may not be opened or consumed on the premises of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E</w:t>
        <w:t xml:space="preserve">.  </w:t>
      </w:r>
      <w:r>
        <w:rPr/>
      </w:r>
      <w:r>
        <w:t xml:space="preserve">The auction permittee shall notify the bureau of each sale of privately held wine at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F</w:t>
        <w:t xml:space="preserve">.  </w:t>
      </w:r>
      <w:r>
        <w:rPr/>
      </w:r>
      <w:r>
        <w:t xml:space="preserve">The privately held wine to be sold at auction may not be stored on the premises where the wine auction is conducted except while the wine auction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G</w:t>
        <w:t xml:space="preserve">.  </w:t>
      </w:r>
      <w:r>
        <w:rPr/>
      </w:r>
      <w:r>
        <w:t xml:space="preserve">The auction permittee shall ensure that each recipient of privately held wine sold at the wine auction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H</w:t>
        <w:t xml:space="preserve">.  </w:t>
      </w:r>
      <w:r>
        <w:rPr/>
      </w:r>
      <w:r>
        <w:t xml:space="preserve">The auction permittee shall ensure that each bottle of privately held wine sold at the wine auction has a permanently affixed label stating that the wine is privately held wine.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5</w:t>
        <w:t xml:space="preserve">.  </w:t>
      </w:r>
      <w:r>
        <w:rPr>
          <w:b/>
        </w:rPr>
        <w:t xml:space="preserve">Excise tax; sales tax.</w:t>
        <w:t xml:space="preserve"> </w:t>
      </w:r>
      <w:r>
        <w:t xml:space="preserve"> </w:t>
      </w:r>
      <w:r>
        <w:t xml:space="preserve">An auction permittee shall comply with the provisions of </w:t>
      </w:r>
      <w:r>
        <w:t>chapter 65</w:t>
      </w:r>
      <w:r>
        <w:t xml:space="preserve"> and </w:t>
      </w:r>
      <w:r>
        <w:t>Title 36, Part 3</w:t>
      </w:r>
      <w:r>
        <w:t xml:space="preserve"> including all requirements relating to the collection, reporting and remittance of the excise and sales and use taxes of the State on sales of privately held wine sold at a wine auction. The bureau may refuse to issue a wine auction permit to an auction permittee who has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6</w:t>
        <w:t xml:space="preserve">.  </w:t>
      </w:r>
      <w:r>
        <w:rPr>
          <w:b/>
        </w:rPr>
        <w:t xml:space="preserve">Beverage container deposit.</w:t>
        <w:t xml:space="preserve"> </w:t>
      </w:r>
      <w:r>
        <w:t xml:space="preserve"> </w:t>
      </w:r>
      <w:r>
        <w:t xml:space="preserve">A container of privately held wine auctioned under this section must comply with the provisions of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§225 (AMD).]</w:t>
      </w:r>
    </w:p>
    <w:p>
      <w:pPr>
        <w:jc w:val="both"/>
        <w:spacing w:before="100" w:after="0"/>
        <w:ind w:start="360"/>
        <w:ind w:firstLine="360"/>
      </w:pPr>
      <w:r>
        <w:rPr>
          <w:b/>
        </w:rPr>
        <w:t>7</w:t>
        <w:t xml:space="preserve">.  </w:t>
      </w:r>
      <w:r>
        <w:rPr>
          <w:b/>
        </w:rPr>
        <w:t xml:space="preserve">Rules.</w:t>
        <w:t xml:space="preserve"> </w:t>
      </w:r>
      <w:r>
        <w:t xml:space="preserve"> </w:t>
      </w:r>
      <w:r>
        <w:t xml:space="preserve">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 PL 2021, c. 658,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LICENSES FOR THE SALE OF LIQUOR TO BE CONSUMED OFF THE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LICENSES FOR THE SALE OF LIQUOR TO BE CONSUMED OFF THE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45. LICENSES FOR THE SALE OF LIQUOR TO BE CONSUMED OFF THE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