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100"/>
        <w:ind w:start="360"/>
        <w:ind w:firstLine="360"/>
      </w:pPr>
      <w:r>
        <w:rPr>
          <w:b/>
        </w:rPr>
        <w:t>1</w:t>
        <w:t xml:space="preserve">.  </w:t>
      </w:r>
      <w:r>
        <w:rPr>
          <w:b/>
        </w:rPr>
        <w:t xml:space="preserve">Event data recorder.</w:t>
        <w:t xml:space="preserve"> </w:t>
      </w:r>
      <w:r>
        <w:t xml:space="preserve"> </w:t>
      </w:r>
      <w:r>
        <w:t xml:space="preserve">"Event data recorder" means a feature that is installed by the manufacturer of a motor vehicle and does one or more of the following for the purpose of capturing data for retrieval after a crash:</w:t>
      </w:r>
    </w:p>
    <w:p>
      <w:pPr>
        <w:jc w:val="both"/>
        <w:spacing w:before="100" w:after="0"/>
        <w:ind w:start="720"/>
      </w:pPr>
      <w:r>
        <w:rPr/>
        <w:t>A</w:t>
        <w:t xml:space="preserve">.  </w:t>
      </w:r>
      <w:r>
        <w:rPr/>
      </w:r>
      <w:r>
        <w:t xml:space="preserve">Records vehicle speed, direction or both;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Records vehicle location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Records vehicle steering performance;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Records vehicle brake performance, including whether brakes were applied before the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Records the driver's seatbelt status; and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Has the ability to transmit information concerning a crash in which the motor vehicle has been involved to a central communication system when a crash occurs.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100"/>
        <w:ind w:start="360"/>
        <w:ind w:firstLine="360"/>
      </w:pPr>
      <w:r>
        <w:rPr>
          <w:b/>
        </w:rPr>
        <w:t>2</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A person having all the incidents of ownership, including the legal title of the motor vehicle, whether or not the person lends, rents or creates a security interest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person entitled to the possession of the motor vehicle as the purchaser under a security agreement;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A person entitled to possession of the motor vehicle as lessee pursuant to a written lease agreement, as long as the agreement at inception is for a period of at least 3 months.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