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Municipal officials as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§201. MUNICIPAL OFFICIALS AS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