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2089</w:t>
        <w:t xml:space="preserve">.  </w:t>
      </w:r>
      <w:r>
        <w:rPr>
          <w:b/>
        </w:rPr>
        <w:t xml:space="preserve">Operation of low-speed vehicles</w:t>
      </w:r>
    </w:p>
    <w:p>
      <w:pPr>
        <w:jc w:val="both"/>
        <w:spacing w:before="100" w:after="100"/>
        <w:ind w:start="360"/>
        <w:ind w:firstLine="360"/>
      </w:pPr>
      <w:r>
        <w:rPr/>
      </w:r>
      <w:r>
        <w:rPr/>
      </w:r>
      <w:r>
        <w:t xml:space="preserve">A person operating a low-speed vehicle on a public way shall comply with the provisions of this chapter as they apply to the operator of an automobile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397, §10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operating a low-speed vehicle must possess a valid Class A, Class B or Class C driver's license pursuant to </w:t>
      </w:r>
      <w:r>
        <w:t>section 1252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2</w:t>
        <w:t xml:space="preserve">.  </w:t>
      </w:r>
      <w:r>
        <w:rPr>
          <w:b/>
        </w:rPr>
        <w:t xml:space="preserve">Road restrictions.</w:t>
        <w:t xml:space="preserve"> </w:t>
      </w:r>
      <w:r>
        <w:t xml:space="preserve"> </w:t>
      </w:r>
      <w:r>
        <w:t xml:space="preserve">A low-speed vehicle may be operated only on a road or street where the posted speed limit is 35 miles per hour or less.  A low-speed vehicle may cross, at an intersection, a road or street with a posted speed limit of more than 35 miles per hour. The department may prohibit the operation of a low-speed vehicle on any highway or segment of highway under its jurisdiction if it determines that the prohibition is necessary in the interest of public safety. A municipality may prohibit the operation of a low-speed vehicle on any road under its jurisdiction if it determines that the prohibition is necessary in the interest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operates a low-speed vehicle in violation of </w:t>
      </w:r>
      <w:r>
        <w:t>subsection 2</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4</w:t>
        <w:t xml:space="preserve">.  </w:t>
      </w:r>
      <w:r>
        <w:rPr>
          <w:b/>
        </w:rPr>
        <w:t xml:space="preserve">Rulemaking.</w:t>
        <w:t xml:space="preserve"> </w:t>
      </w:r>
      <w:r>
        <w:t xml:space="preserve"> </w:t>
      </w:r>
      <w:r>
        <w:t xml:space="preserve">The Secretary of State, in consultation with the Commissioner of Transportation and the Commissioner of Public Safety, may adopt rules in accordance with </w:t>
      </w:r>
      <w:r>
        <w:t>Title 5, chapter 375</w:t>
      </w:r>
      <w:r>
        <w:t xml:space="preserve"> to implement this section, monitor the registration and use of low-speed vehicles and provide for the safe operation of low-speed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pPr>
      <w:r>
        <w:rPr>
          <w:b w:val="true"/>
          <w:i/>
          <w:caps w:val="true"/>
        </w:rPr>
        <w:t xml:space="preserve">Revisor's Note: </w:t>
      </w:r>
      <w:r>
        <w:t>§2089.  Antique vehicles (As enacted by PL 2003, c. 128, §1 is REALLOCATED TO TITLE 29-A, SECTION 2090)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§30 (RAL). PL 2003, c. 128, §1 (NEW). PL 2003, c. 397,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§2089. Operation of low-speed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§2089. Operation of low-speed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§2089. OPERATION OF LOW-SPEED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