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Improper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Improper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§2104. IMPROPER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