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Limitation of liability</w:t>
      </w:r>
    </w:p>
    <w:p>
      <w:pPr>
        <w:jc w:val="both"/>
        <w:spacing w:before="100" w:after="100"/>
        <w:ind w:start="360"/>
        <w:ind w:firstLine="360"/>
      </w:pPr>
      <w:r>
        <w:rPr/>
      </w:r>
      <w:r>
        <w:rPr/>
      </w:r>
      <w:r>
        <w:t xml:space="preserve">A person who is in the business of selling or renting bicycles or roller skis who complies with this chapter is not liable in a civil suit for damages for any physical injuries sustained by an operator or bicycle passenger as a result of the operator's or passenger's failure to use a helmet.</w:t>
      </w:r>
      <w:r>
        <w:t xml:space="preserve">  </w:t>
      </w:r>
      <w:r xmlns:wp="http://schemas.openxmlformats.org/drawingml/2010/wordprocessingDrawing" xmlns:w15="http://schemas.microsoft.com/office/word/2012/wordml">
        <w:rPr>
          <w:rFonts w:ascii="Arial" w:hAnsi="Arial" w:cs="Arial"/>
          <w:sz w:val="22"/>
          <w:szCs w:val="22"/>
        </w:rPr>
        <w:t xml:space="preserve">[PL 2009, c. 484,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§2325. Limitation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Limitation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§2325. LIMITATION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