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D. Allow certain commercial motor vehicles that exceed weight limits and vehicle dimension standards to operate on a designated route of tra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D. Allow certain commercial motor vehicles that exceed weight limits and vehicle dimension standards to operate on a designated route of trav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D. ALLOW CERTAIN COMMERCIAL MOTOR VEHICLES THAT EXCEED WEIGHT LIMITS AND VEHICLE DIMENSION STANDARDS TO OPERATE ON A DESIGNATED ROUTE OF TRA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