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2365</w:t>
        <w:t xml:space="preserve">.  </w:t>
      </w:r>
      <w:r>
        <w:rPr>
          <w:b/>
        </w:rPr>
        <w:t xml:space="preserve">Four-axle single unit truck in combination with 2-axle trailer</w:t>
      </w:r>
    </w:p>
    <w:p>
      <w:pPr>
        <w:jc w:val="both"/>
        <w:spacing w:before="100" w:after="100"/>
        <w:ind w:start="360"/>
        <w:ind w:firstLine="360"/>
      </w:pPr>
      <w:r>
        <w:rPr/>
      </w:r>
      <w:r>
        <w:rPr/>
      </w:r>
      <w:r>
        <w:t xml:space="preserve">A combination vehicle consisting of a 4-axle single unit truck operating in combination with a 2-axle trailer may be operated, or caused to be operated, with a maximum gross weight of 94,000 pounds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Registration.</w:t>
        <w:t xml:space="preserve"> </w:t>
      </w:r>
      <w:r>
        <w:t xml:space="preserve"> </w:t>
      </w:r>
      <w:r>
        <w:t xml:space="preserve">The trailer unit is registered for a minimum of 28,000 pounds gross weight and the combined registered weight of the truck and trailer unit is at least 94,000 pounds gross weight or the truck is registered for at least 94,000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§10 (AMD); PL 1999, c. 580, §14 (AFF).]</w:t>
      </w:r>
    </w:p>
    <w:p>
      <w:pPr>
        <w:jc w:val="both"/>
        <w:spacing w:before="100" w:after="0"/>
        <w:ind w:start="360"/>
        <w:ind w:firstLine="360"/>
      </w:pPr>
      <w:r>
        <w:rPr>
          <w:b/>
        </w:rPr>
        <w:t>2</w:t>
        <w:t xml:space="preserve">.  </w:t>
      </w:r>
      <w:r>
        <w:rPr>
          <w:b/>
        </w:rPr>
        <w:t xml:space="preserve">Special commodities.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§11 (RP); PL 1999, c. 580, §14 (AFF).]</w:t>
      </w:r>
    </w:p>
    <w:p>
      <w:pPr>
        <w:jc w:val="both"/>
        <w:spacing w:before="100" w:after="100"/>
        <w:ind w:start="360"/>
        <w:ind w:firstLine="360"/>
      </w:pPr>
      <w:r>
        <w:rPr>
          <w:b/>
        </w:rPr>
        <w:t>3</w:t>
        <w:t xml:space="preserve">.  </w:t>
      </w:r>
      <w:r>
        <w:rPr>
          <w:b/>
        </w:rPr>
        <w:t xml:space="preserve">Single axle weights.</w:t>
        <w:t xml:space="preserve"> </w:t>
      </w:r>
      <w:r>
        <w:t xml:space="preserve"> </w:t>
      </w:r>
      <w:r>
        <w:t xml:space="preserve">The following single axle weights are not exceeded:</w:t>
      </w:r>
    </w:p>
    <w:p>
      <w:pPr>
        <w:jc w:val="both"/>
        <w:spacing w:before="100" w:after="0"/>
        <w:ind w:start="720"/>
      </w:pPr>
      <w:r>
        <w:rPr/>
        <w:t>A</w:t>
        <w:t xml:space="preserve">.  </w:t>
      </w:r>
      <w:r>
        <w:rPr/>
      </w:r>
      <w:r>
        <w:t xml:space="preserve">For a steering axle, the limit is the lesser of 14,000 pounds or the weight limit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2 to 4 truck axles, the limit is 20,000 pounds for each axle;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trailer axles, the limit is 18,000 pounds for each axle;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Tri-axle gross weight.</w:t>
        <w:t xml:space="preserve"> </w:t>
      </w:r>
      <w:r>
        <w:t xml:space="preserve"> </w:t>
      </w:r>
      <w:r>
        <w:t xml:space="preserve">The gross weight of the tri-axle, which is the sum of the weight of the 2nd, 3rd and 4th axles of the truck, does not exceed 50,000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Liftable axles.</w:t>
        <w:t xml:space="preserve"> </w:t>
      </w:r>
      <w:r>
        <w:t xml:space="preserve"> </w:t>
      </w:r>
      <w:r>
        <w:t xml:space="preserve">When operating at a gross vehicle weight exceeding 88,000 pounds, all liftable axles of the vehicle are in full contact with the ground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Percent over basic weight.</w:t>
        <w:t xml:space="preserve"> </w:t>
      </w:r>
      <w:r>
        <w:t xml:space="preserve"> </w:t>
      </w:r>
      <w:r>
        <w:t xml:space="preserve">The "percent over basic weight" used to calculate fines for weight violations by the vehicle are based upon a gross vehicle weight limit of 85,000 pounds or upon the axle weight limits enumerated in </w:t>
      </w:r>
      <w:r>
        <w:t>subsections 3</w:t>
      </w:r>
      <w:r>
        <w:t xml:space="preserve"> and </w:t>
      </w:r>
      <w:r>
        <w:t>4</w:t>
      </w:r>
      <w:r>
        <w:t xml:space="preserve">,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Vehicle dimensions.</w:t>
        <w:t xml:space="preserve"> </w:t>
      </w:r>
      <w:r>
        <w:t xml:space="preserve"> </w:t>
      </w:r>
      <w:r>
        <w:t xml:space="preserve">The following vehicle dimensions are met: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326"/>
        <w:gridCol w:w="2520"/>
        <w:gridCol w:w="2160"/>
      </w:tblGrid>
      <w:tr>
        <w:trPr>
          <w:cantSplit/>
        </w:trPr>
        <w:tc>
          <w:tcPr>
            <w:tcW w:w="3326" w:type="dxa"/>
          </w:tcPr>
          <w:p>
            <w:pPr>
              <w:jc w:val="both"/>
            </w:pPr>
          </w:p>
        </w:tc>
        <w:tc>
          <w:tcPr>
            <w:tcW w:w="2520" w:type="dxa"/>
          </w:tcPr>
          <w:p>
            <w:pPr>
              <w:jc w:val="left"/>
            </w:pPr>
            <w:r>
              <w:t xml:space="preserve">At Least</w:t>
            </w:r>
          </w:p>
        </w:tc>
        <w:tc>
          <w:tcPr>
            <w:tcW w:w="2160" w:type="dxa"/>
          </w:tcPr>
          <w:p>
            <w:pPr>
              <w:jc w:val="left"/>
            </w:pPr>
            <w:r>
              <w:t xml:space="preserve">Not to Exceed</w:t>
            </w:r>
          </w:p>
        </w:tc>
      </w:tr>
      <w:tr>
        <w:trPr>
          <w:cantSplit/>
        </w:trPr>
        <w:tc>
          <w:tcPr>
            <w:tcW w:w="3326" w:type="dxa"/>
          </w:tcPr>
          <w:p>
            <w:pPr>
              <w:jc w:val="left"/>
            </w:pPr>
            <w:r>
              <w:t xml:space="preserve">Overall Vehicle Length </w:t>
            </w:r>
          </w:p>
        </w:tc>
        <w:tc>
          <w:tcPr>
            <w:tcW w:w="2520" w:type="dxa"/>
          </w:tcPr>
          <w:p>
            <w:pPr>
              <w:jc w:val="left"/>
            </w:pPr>
            <w:r>
              <w:t xml:space="preserve">--</w:t>
            </w:r>
          </w:p>
        </w:tc>
        <w:tc>
          <w:tcPr>
            <w:tcW w:w="2160" w:type="dxa"/>
          </w:tcPr>
          <w:p>
            <w:pPr>
              <w:jc w:val="left"/>
            </w:pPr>
            <w:r>
              <w:t xml:space="preserve">65 ft. 0 in.</w:t>
            </w:r>
          </w:p>
        </w:tc>
      </w:tr>
      <w:tr>
        <w:trPr>
          <w:cantSplit/>
        </w:trPr>
        <w:tc>
          <w:tcPr>
            <w:tcW w:w="3326" w:type="dxa"/>
          </w:tcPr>
          <w:p>
            <w:pPr>
              <w:jc w:val="left"/>
            </w:pPr>
            <w:r>
              <w:t xml:space="preserve">Axle 1 to Axle 6</w:t>
            </w:r>
          </w:p>
        </w:tc>
        <w:tc>
          <w:tcPr>
            <w:tcW w:w="2520" w:type="dxa"/>
          </w:tcPr>
          <w:p>
            <w:pPr>
              <w:jc w:val="left"/>
            </w:pPr>
            <w:r>
              <w:t xml:space="preserve">56 ft. 10 in.</w:t>
            </w:r>
          </w:p>
        </w:tc>
        <w:tc>
          <w:tcPr>
            <w:tcW w:w="2160" w:type="dxa"/>
          </w:tcPr>
          <w:p>
            <w:pPr>
              <w:jc w:val="left"/>
            </w:pPr>
            <w:r>
              <w:t xml:space="preserve">58 ft. 10 in.</w:t>
            </w:r>
          </w:p>
        </w:tc>
      </w:tr>
      <w:tr>
        <w:trPr>
          <w:cantSplit/>
        </w:trPr>
        <w:tc>
          <w:tcPr>
            <w:tcW w:w="3326" w:type="dxa"/>
          </w:tcPr>
          <w:p>
            <w:pPr>
              <w:jc w:val="left"/>
            </w:pPr>
            <w:r>
              <w:t xml:space="preserve">Axle 1 to Axle 2</w:t>
            </w:r>
          </w:p>
        </w:tc>
        <w:tc>
          <w:tcPr>
            <w:tcW w:w="2520" w:type="dxa"/>
          </w:tcPr>
          <w:p>
            <w:pPr>
              <w:jc w:val="left"/>
            </w:pPr>
            <w:r>
              <w:t xml:space="preserve">13 ft. 6 in.</w:t>
            </w:r>
          </w:p>
        </w:tc>
        <w:tc>
          <w:tcPr>
            <w:tcW w:w="2160" w:type="dxa"/>
          </w:tcPr>
          <w:p>
            <w:pPr>
              <w:jc w:val="left"/>
            </w:pPr>
            <w:r>
              <w:t xml:space="preserve">18 ft. 4 in.</w:t>
            </w:r>
          </w:p>
        </w:tc>
      </w:tr>
      <w:tr>
        <w:trPr>
          <w:cantSplit/>
        </w:trPr>
        <w:tc>
          <w:tcPr>
            <w:tcW w:w="3326" w:type="dxa"/>
          </w:tcPr>
          <w:p>
            <w:pPr>
              <w:jc w:val="left"/>
            </w:pPr>
            <w:r>
              <w:t xml:space="preserve">Axle 2 to Axle 3 </w:t>
            </w:r>
          </w:p>
        </w:tc>
        <w:tc>
          <w:tcPr>
            <w:tcW w:w="2520" w:type="dxa"/>
          </w:tcPr>
          <w:p>
            <w:pPr>
              <w:jc w:val="left"/>
            </w:pPr>
            <w:r>
              <w:t xml:space="preserve">  3 ft. 8 in. </w:t>
            </w:r>
          </w:p>
        </w:tc>
        <w:tc>
          <w:tcPr>
            <w:tcW w:w="2160" w:type="dxa"/>
          </w:tcPr>
          <w:p>
            <w:pPr>
              <w:jc w:val="left"/>
            </w:pPr>
            <w:r>
              <w:t xml:space="preserve">  5 ft. 0 in.</w:t>
            </w:r>
          </w:p>
        </w:tc>
      </w:tr>
      <w:tr>
        <w:trPr>
          <w:cantSplit/>
        </w:trPr>
        <w:tc>
          <w:tcPr>
            <w:tcW w:w="3326" w:type="dxa"/>
          </w:tcPr>
          <w:p>
            <w:pPr>
              <w:jc w:val="left"/>
            </w:pPr>
            <w:r>
              <w:t xml:space="preserve">Axle 3 to Axle 4</w:t>
            </w:r>
          </w:p>
        </w:tc>
        <w:tc>
          <w:tcPr>
            <w:tcW w:w="2520" w:type="dxa"/>
          </w:tcPr>
          <w:p>
            <w:pPr>
              <w:jc w:val="left"/>
            </w:pPr>
            <w:r>
              <w:t xml:space="preserve">  3 ft. 8 in. </w:t>
            </w:r>
          </w:p>
        </w:tc>
        <w:tc>
          <w:tcPr>
            <w:tcW w:w="2160" w:type="dxa"/>
          </w:tcPr>
          <w:p>
            <w:pPr>
              <w:jc w:val="left"/>
            </w:pPr>
            <w:r>
              <w:t xml:space="preserve">  5 ft. 0 in.</w:t>
            </w:r>
          </w:p>
        </w:tc>
      </w:tr>
      <w:tr>
        <w:trPr>
          <w:cantSplit/>
        </w:trPr>
        <w:tc>
          <w:tcPr>
            <w:tcW w:w="3326" w:type="dxa"/>
          </w:tcPr>
          <w:p>
            <w:pPr>
              <w:jc w:val="left"/>
            </w:pPr>
            <w:r>
              <w:t xml:space="preserve">Axle 4 to Axle 5</w:t>
            </w:r>
          </w:p>
        </w:tc>
        <w:tc>
          <w:tcPr>
            <w:tcW w:w="2520" w:type="dxa"/>
          </w:tcPr>
          <w:p>
            <w:pPr>
              <w:jc w:val="left"/>
            </w:pPr>
            <w:r>
              <w:t xml:space="preserve">12 ft. 11 in.</w:t>
            </w:r>
          </w:p>
        </w:tc>
        <w:tc>
          <w:tcPr>
            <w:tcW w:w="2160" w:type="dxa"/>
          </w:tcPr>
          <w:p>
            <w:pPr>
              <w:jc w:val="left"/>
            </w:pPr>
            <w:r>
              <w:t xml:space="preserve">17 ft. 6 in.</w:t>
            </w:r>
          </w:p>
        </w:tc>
      </w:tr>
      <w:tr>
        <w:trPr>
          <w:cantSplit/>
        </w:trPr>
        <w:tc>
          <w:tcPr>
            <w:tcW w:w="3326" w:type="dxa"/>
          </w:tcPr>
          <w:p>
            <w:pPr>
              <w:jc w:val="left"/>
            </w:pPr>
            <w:r>
              <w:t xml:space="preserve">Axle 5 to Axle 6</w:t>
            </w:r>
          </w:p>
        </w:tc>
        <w:tc>
          <w:tcPr>
            <w:tcW w:w="2520" w:type="dxa"/>
          </w:tcPr>
          <w:p>
            <w:pPr>
              <w:jc w:val="left"/>
            </w:pPr>
            <w:r>
              <w:t xml:space="preserve">15 ft. 2 in.</w:t>
            </w:r>
          </w:p>
        </w:tc>
        <w:tc>
          <w:tcPr>
            <w:tcW w:w="2160" w:type="dxa"/>
          </w:tcPr>
          <w:p>
            <w:pPr>
              <w:jc w:val="left"/>
            </w:pPr>
            <w:r>
              <w:t xml:space="preserve">20 ft. 7 in.</w:t>
            </w:r>
          </w:p>
        </w:tc>
      </w:tr>
    </w:tbl>
    <w:p>
      <w:pPr>
        <w:jc w:val="both"/>
        <w:spacing w:before="100" w:after="0"/>
        <w:ind w:start="360"/>
      </w:pPr>
      <w:r>
        <w:rPr/>
      </w:r>
      <w:r>
        <w:rPr/>
      </w:r>
      <w:r>
        <w:t xml:space="preserve">Axle distances are measured from axle center to axle center;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Certification of brakes, axles and suspensions.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§12 (RP); PL 1999, c. 580, §14 (AFF).]</w:t>
      </w:r>
    </w:p>
    <w:p>
      <w:pPr>
        <w:jc w:val="both"/>
        <w:spacing w:before="100" w:after="100"/>
        <w:ind w:start="360"/>
        <w:ind w:firstLine="360"/>
      </w:pPr>
      <w:r>
        <w:rPr/>
      </w:r>
      <w:r>
        <w:rPr/>
      </w:r>
      <w:r>
        <w:t xml:space="preserve">Nothing contained in this section is applicable to vehicles operating on the Interstate Highway System, as defined in the Federal Aid Highway Act of 1956.</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§§10-12 (AMD). PL 1999, c. 580,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§2365. Four-axle single unit truck in combination with 2-axle trailer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§2365. Four-axle single unit truck in combination with 2-axle trailer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§2365. FOUR-AXLE SINGLE UNIT TRUCK IN COMBINATION WITH 2-AXLE TRAILER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