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Confidentiality of nongovernment vehicle records</w:t>
      </w:r>
    </w:p>
    <w:p>
      <w:pPr>
        <w:jc w:val="both"/>
        <w:spacing w:before="100" w:after="100"/>
        <w:ind w:start="360"/>
        <w:ind w:firstLine="360"/>
      </w:pPr>
      <w:r>
        <w:rPr/>
      </w:r>
      <w:r>
        <w:rPr/>
      </w:r>
      <w:r>
        <w:t xml:space="preserve">Upon receiving a written request by an appropriate criminal justice official and showing cause that it is in the best interest of public safety, the Secretary of State may determine that records of a nongovernment vehicle may be held confidential for a specific period of time, which may not exceed the expiration of the current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Confidentiality of nongovernment vehicle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Confidentiality of nongovernment vehicle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§253. CONFIDENTIALITY OF NONGOVERNMENT VEHICLE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