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Nontransferability of certificate</w:t>
      </w:r>
    </w:p>
    <w:p>
      <w:pPr>
        <w:jc w:val="both"/>
        <w:spacing w:before="100" w:after="100"/>
        <w:ind w:start="360"/>
        <w:ind w:firstLine="360"/>
      </w:pPr>
      <w:r>
        <w:rPr/>
      </w:r>
      <w:r>
        <w:rPr/>
      </w:r>
      <w:r>
        <w:t xml:space="preserve">A vehicle registration expires on the transfer of ownership except for a transfer to a surviving spouse.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Return of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§2 (RP).]</w:t>
      </w:r>
    </w:p>
    <w:p>
      <w:pPr>
        <w:jc w:val="both"/>
        <w:spacing w:before="100" w:after="0"/>
        <w:ind w:start="360"/>
        <w:ind w:firstLine="360"/>
      </w:pPr>
      <w:r>
        <w:rPr>
          <w:b/>
        </w:rPr>
        <w:t>2</w:t>
        <w:t xml:space="preserve">.  </w:t>
      </w:r>
      <w:r>
        <w:rPr>
          <w:b/>
        </w:rPr>
        <w:t xml:space="preserve">Issuance of new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496,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§406. Nontransferability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Nontransferability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§406. NONTRANSFERABILITY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