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w:t>
        <w:t xml:space="preserve">.  </w:t>
      </w:r>
      <w:r>
        <w:rPr>
          <w:b/>
        </w:rPr>
        <w:t xml:space="preserve">Specialty License Plate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Specialty License Plate Fund is established as a dedicated nonlapsing fund.  The fund is administered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w:t>
      </w:r>
    </w:p>
    <w:p>
      <w:pPr>
        <w:jc w:val="both"/>
        <w:spacing w:before="100" w:after="0"/>
        <w:ind w:start="360"/>
        <w:ind w:firstLine="360"/>
      </w:pPr>
      <w:r>
        <w:rPr>
          <w:b/>
        </w:rPr>
        <w:t>2</w:t>
        <w:t xml:space="preserve">.  </w:t>
      </w:r>
      <w:r>
        <w:rPr>
          <w:b/>
        </w:rPr>
        <w:t xml:space="preserve">Purpose.</w:t>
        <w:t xml:space="preserve"> </w:t>
      </w:r>
      <w:r>
        <w:t xml:space="preserve"> </w:t>
      </w:r>
      <w:r>
        <w:t xml:space="preserve">Except as specified under </w:t>
      </w:r>
      <w:r>
        <w:t>section 468‑A, subsection 3</w:t>
      </w:r>
      <w:r>
        <w:t xml:space="preserve">, all money credited to the Specialty License Plate Fund must be used to cover the cost of manufacturing and producing a specialty or recognition license plate authorized pursuant to </w:t>
      </w:r>
      <w:r>
        <w:t>sections 468</w:t>
      </w:r>
      <w:r>
        <w:t xml:space="preserve"> and </w:t>
      </w:r>
      <w:r>
        <w:t>468‑A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§3 (AMD); PL 2003, c. 652, Pt. B,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§12 (NEW). PL 2001, c. 623, §6 (AMD). PL 2003, c. 652, §B3 (AMD). PL 2003, c. 652,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 Specialty License Plate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 Specialty License Plate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§469. SPECIALTY LICENSE PLATE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