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Vehicles registered pursuant to the plan</w:t>
      </w:r>
    </w:p>
    <w:p>
      <w:pPr>
        <w:jc w:val="both"/>
        <w:spacing w:before="100" w:after="100"/>
        <w:ind w:start="360"/>
        <w:ind w:firstLine="360"/>
      </w:pPr>
      <w:r>
        <w:rPr/>
      </w:r>
      <w:r>
        <w:rPr/>
      </w:r>
      <w:r>
        <w:t xml:space="preserve">Notwithstanding any other provision of this Title, the following provisions apply to vehicles required to be registered pursuant to the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Cab cards.</w:t>
        <w:t xml:space="preserve"> </w:t>
      </w:r>
      <w:r>
        <w:t xml:space="preserve"> </w:t>
      </w:r>
      <w:r>
        <w:t xml:space="preserve">For each vehicle base registered in this State under the plan, there is a fee of $5 for each original cab card or replacement cab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registration.</w:t>
        <w:t xml:space="preserve"> </w:t>
      </w:r>
      <w:r>
        <w:t xml:space="preserve"> </w:t>
      </w:r>
      <w:r>
        <w:t xml:space="preserve">The Secretary of State may issue a temporary registration certificate for a vehicle for which an application for registration has been made.  Temporary registrations may be issued for periods not to exceed 45 days.  Only one temporary registration may be issued per vehicle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Trip permits.</w:t>
        <w:t xml:space="preserve"> </w:t>
      </w:r>
      <w:r>
        <w:t xml:space="preserve"> </w:t>
      </w:r>
      <w:r>
        <w:t xml:space="preserve">The Secretary of State may issue 72-hour trip permits for vehicles required to be registered in the plan that have not been apportioned with this State.  The fee for each trip permit is $25 per vehicle.  Trip permits provide all the privileges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registration plate.</w:t>
        <w:t xml:space="preserve"> </w:t>
      </w:r>
      <w:r>
        <w:t xml:space="preserve"> </w:t>
      </w:r>
      <w:r>
        <w:t xml:space="preserve">Vehicles registered in the plan for the first time may be operated without displaying a registration plate if the vehicle has been issued a valid temporary registration by the base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Facsimile credentials.</w:t>
        <w:t xml:space="preserve"> </w:t>
      </w:r>
      <w:r>
        <w:t xml:space="preserve"> </w:t>
      </w:r>
      <w:r>
        <w:t xml:space="preserve">The Secretary of State may issue facsimile credentials identifying specific vehicles for registration purposes.  Temporary facsimile credentials issued by another jurisdiction pursuant to the plan may be accepted as proof that a vehicle is legally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Unladen weight permits.</w:t>
        <w:t xml:space="preserve"> </w:t>
      </w:r>
      <w:r>
        <w:t xml:space="preserve"> </w:t>
      </w:r>
      <w:r>
        <w:t xml:space="preserve">The Secretary of State may issue unladen weight permits for motor vehicles based in this State or last registered in this State and otherwise required to be registered in the plan.  An unladen weight permit allows a motor vehicle to be operated without a load in a plan jurisdiction without an apportioned registration.  The fee for an unladen weight permit is $25.  The permit is valid for 30 days.  The Secretary of State may require any information that the Secretary of State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Refunds.</w:t>
        <w:t xml:space="preserve"> </w:t>
      </w:r>
      <w:r>
        <w:t xml:space="preserve"> </w:t>
      </w:r>
      <w:r>
        <w:t xml:space="preserve">The Secretary of State may issue a refund of registration fees paid for operating in this State when the Secretary of State determines that a registrant was assessed too great a registration fee.  The Secretary of State may not refund a registration fee collected for another jurisdiction, but may assist a motor carrier based in this State in obtaining refunds from other member jurisdictions.  The Secretary of State is not required to refund an amount of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Presentation of credentials.</w:t>
        <w:t xml:space="preserve"> </w:t>
      </w:r>
      <w:r>
        <w:t xml:space="preserve"> </w:t>
      </w:r>
      <w:r>
        <w:t xml:space="preserve">Upon request of any law enforcement officer, an operator of a motor vehicle registered pursuant to the plan must present temporary or permanent credentials for inspection.  The credentials must be a legible original, legible copy or legible electronic image in compliance with the provisions of the plan governing credentials for apportioned registrations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§12 (AMD).]</w:t>
      </w:r>
    </w:p>
    <w:p>
      <w:pPr>
        <w:jc w:val="both"/>
        <w:spacing w:before="100" w:after="100"/>
        <w:ind w:start="360"/>
        <w:ind w:firstLine="360"/>
      </w:pPr>
      <w:r>
        <w:rPr>
          <w:b/>
        </w:rPr>
        <w:t>9</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Notwithstanding any other provisions of this Title, a person who fails to comply with the registration requirements of the plan commits a traffic infraction.  The minimum fine for this violation is $500.  The Secretary of State shall notify the registrant's base jurisdiction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w:pPr>
        <w:jc w:val="both"/>
        <w:spacing w:before="100" w:after="0"/>
        <w:ind w:start="720"/>
      </w:pPr>
      <w:r>
        <w:rPr/>
        <w:t>B</w:t>
        <w:t xml:space="preserve">.  </w:t>
      </w:r>
      <w:r>
        <w:rPr/>
      </w:r>
      <w:r>
        <w:t xml:space="preserve">A person who presents altered credentials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 (AMD). PL 2003, c. 452, §X2 (AFF). PL 2019, c. 397,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 Vehicles registered pursuant to the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Vehicles registered pursuant to the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§532. VEHICLES REGISTERED PURSUANT TO THE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