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§§1,2 (AMD). PL 1967, c. 54 (AMD). PL 1967, c. 245, §§8,9 (AMD). PL 1969, c. 138, §2 (AMD). PL 1971, c. 191 (AMD). PL 1971, c. 543 (AMD). PL 1973, c. 796, §2 (AMD). PL 1975, c. 252, §§7,8 (AMD). PL 1975, c. 451 (AMD). PL 1975, c. 589, §§8-10 (AMD). PL 1979, c. 97 (AMD). PL 1981, c. 492, §§E3-E7 (AMD). PL 1983, c. 94, §§B4-B7, C2,C3 (AMD). PL 1983, c. 282, §1 (AMD). PL 1983, c. 816, §A26 (AMD). PL 1985, c. 812, §A1 (AMD). PL 1987, c. 199, §1 (AMD). PL 1987, c. 781, §§2,15 (AMD). PL 1987, c. 789, §8 (RPR). PL 1989, c. 107 (AMD). PL 1989, c. 481, §A8 (AMD). PL 1989, c. 866, §§B5,26 (AMD). PL 1991, c. 307, §2 (AMD). PL 1991, c. 410, §B (AMD). PL 1991, c. 598, §3 (AMD). PL 1993, c. 122, §2 (AMD). PL 1993, c. 297, §A8 (AMD). PL 1993, c. 658, §§6,7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 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 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