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§173. STATE LAW LIBRARY;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