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Pertinency of requested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§453. PERTINENCY OF REQUESTED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