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§522-A. INLAND FISHERIES AND WILDLIFE BUDGET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