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w:t>
        <w:t xml:space="preserve">.  </w:t>
      </w:r>
      <w:r>
        <w:rPr>
          <w:b/>
        </w:rPr>
        <w:t xml:space="preserve">Direction from committees of jurisdiction</w:t>
      </w:r>
    </w:p>
    <w:p>
      <w:pPr>
        <w:jc w:val="both"/>
        <w:spacing w:before="100" w:after="100"/>
        <w:ind w:start="360"/>
        <w:ind w:firstLine="360"/>
      </w:pPr>
      <w:r>
        <w:rPr/>
      </w:r>
      <w:r>
        <w:rPr/>
      </w:r>
      <w:r>
        <w:t xml:space="preserve">On or before February 1st of any first regular session of the Legislature, a committee of jurisdiction may direct an agency in writing to undertake a retrospective review of one or more rules under the jurisdiction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2011, c. 304,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L,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§972. Direction from committees of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 Direction from committees of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§972. DIRECTION FROM COMMITTEES OF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