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PUBLIC SELF-FUNDED POOLS</w:t>
      </w:r>
    </w:p>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117. PUBLIC SELF-FUNDED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PUBLIC SELF-FUNDED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117. PUBLIC SELF-FUNDED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