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204. MAINE REDEVELOPMENT LAND BANK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