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Enforcing payment of taxes; collection of accounts due counties</w:t>
      </w:r>
    </w:p>
    <w:p>
      <w:pPr>
        <w:jc w:val="both"/>
        <w:spacing w:before="100" w:after="0"/>
        <w:ind w:start="360"/>
        <w:ind w:firstLine="360"/>
      </w:pPr>
      <w:r>
        <w:rPr>
          <w:b/>
        </w:rPr>
        <w:t>1</w:t>
        <w:t xml:space="preserve">.  </w:t>
      </w:r>
      <w:r>
        <w:rPr>
          <w:b/>
        </w:rPr>
        <w:t xml:space="preserve">Enforcing payment of taxes.</w:t>
        <w:t xml:space="preserve"> </w:t>
      </w:r>
      <w:r>
        <w:t xml:space="preserve"> </w:t>
      </w:r>
      <w:r>
        <w:t xml:space="preserve">The county treasurer may enforce the payment of taxes in the manner prescribed for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Charging off accounts.</w:t>
        <w:t xml:space="preserve"> </w:t>
      </w:r>
      <w:r>
        <w:t xml:space="preserve"> </w:t>
      </w:r>
      <w:r>
        <w:t xml:space="preserve">The county treasurer may charge off the county's books of account, in whole or in part, any accounts receivable, including taxes, that the county commissioners certify as impracticable of realization.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 Enforcing payment of taxes; collection of accounts due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Enforcing payment of taxes; collection of accounts due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§174. ENFORCING PAYMENT OF TAXES; COLLECTION OF ACCOUNTS DUE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