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Annual statement of financial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Annual statement of financial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§183. ANNUAL STATEMENT OF FINANCIAL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