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Removal from office</w:t>
      </w:r>
    </w:p>
    <w:p>
      <w:pPr>
        <w:jc w:val="both"/>
        <w:spacing w:before="100" w:after="100"/>
        <w:ind w:start="360"/>
        <w:ind w:firstLine="360"/>
      </w:pPr>
      <w:r>
        <w:rPr/>
      </w:r>
      <w:r>
        <w:rPr/>
      </w:r>
      <w:r>
        <w:t xml:space="preserve">The Justices of the Supreme Judicial Court have jurisdiction to remove any district attorney from office, by majority vote of the justices sitting, upon complaint filed with the court by the Attorney General, and after notice and hearing,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Expedited proceeding.</w:t>
        <w:t xml:space="preserve"> </w:t>
      </w:r>
      <w:r>
        <w:t xml:space="preserve"> </w:t>
      </w:r>
      <w:r>
        <w:t xml:space="preserve">Proceedings under this section shall be expedited insofar as practicable and shall take precedence over all other matters except requests for opinions of the justices and petitions for writs of habeas corpus.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 application of court rules.</w:t>
        <w:t xml:space="preserve"> </w:t>
      </w:r>
      <w:r>
        <w:t xml:space="preserve"> </w:t>
      </w:r>
      <w:r>
        <w:t xml:space="preserve">The complaint in a proceeding under this section shall contain a short and plain statement of facts showing that grounds for removal exist.  The proceedings shall be conducted in accordance with the Maine Rules of Civil Procedure and the Maine Rules of Evidence, except that:</w:t>
      </w:r>
    </w:p>
    <w:p>
      <w:pPr>
        <w:jc w:val="both"/>
        <w:spacing w:before="100" w:after="0"/>
        <w:ind w:start="720"/>
      </w:pPr>
      <w:r>
        <w:rPr/>
        <w:t>A</w:t>
        <w:t xml:space="preserve">.  </w:t>
      </w:r>
      <w:r>
        <w:rPr/>
      </w:r>
      <w:r>
        <w:t xml:space="preserve">Discovery procedures may be used only by order of the court on motion for cause shown;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court may modify any rule or restrict its application as is necessary or appropriate to expedite the proceeding and ensure that the court is as fully informed of the relevant and material facts as practicable.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w:t>
        <w:t xml:space="preserve"> </w:t>
      </w:r>
      <w:r>
        <w:t xml:space="preserve"> </w:t>
      </w:r>
      <w:r>
        <w:t xml:space="preserve">If a majority of the justices sitting finds, by clear and convincing evidence, that the respondent district attorney has violated a statute or is not performing the duties of office faithfully and efficiently, and finds in consequence that removal from office is necessary in the public interest, judgment to that effect shall be entered, and the respondent shall thereby be removed from office as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§257.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