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§2635. Select board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§2635. Select board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§2635. SELECT BOARD TO ACT AS A BODY; ADMINISTRATIVE SERVICE TO BE PERFORMED THROUGH TOWN MANAGER;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