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Expenses</w:t>
      </w:r>
    </w:p>
    <w:p>
      <w:pPr>
        <w:jc w:val="both"/>
        <w:spacing w:before="100" w:after="100"/>
        <w:ind w:start="360"/>
        <w:ind w:firstLine="360"/>
      </w:pPr>
      <w:r>
        <w:rPr/>
      </w:r>
      <w:r>
        <w:rPr/>
      </w:r>
      <w:r>
        <w:t xml:space="preserve">Each municipality shall pay the reasonable expenses of its clerk and deputy clerk incurred in attending the annual meetings of the Maine Municipal Association and the Maine Town and City Clerks'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§2653.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