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Mandatory retirement age prohibited</w:t>
      </w:r>
    </w:p>
    <w:p>
      <w:pPr>
        <w:jc w:val="both"/>
        <w:spacing w:before="100" w:after="0"/>
        <w:ind w:start="360"/>
        <w:ind w:firstLine="360"/>
      </w:pPr>
      <w:r>
        <w:rPr>
          <w:b/>
        </w:rPr>
        <w:t>1</w:t>
        <w:t xml:space="preserve">.  </w:t>
      </w:r>
      <w:r>
        <w:rPr>
          <w:b/>
        </w:rPr>
        <w:t xml:space="preserve">Legislative findings and intent.</w:t>
        <w:t xml:space="preserve"> </w:t>
      </w:r>
      <w:r>
        <w:t xml:space="preserve"> </w:t>
      </w:r>
      <w:r>
        <w:t xml:space="preserve">The legislative findings and intent for this section are the same as the findings and intent specified in </w:t>
      </w:r>
      <w:r>
        <w:t>Title 5, section 4575,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Prohibition.</w:t>
        <w:t xml:space="preserve"> </w:t>
      </w:r>
      <w:r>
        <w:t xml:space="preserve"> </w:t>
      </w:r>
      <w:r>
        <w:t xml:space="preserve">A municipality may not enact any ordinance or adopt any regulation which requires a municipal employee, as a condition of employment, to retire at or before a specified age or after completion of a specified number of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Criteria and standards.</w:t>
        <w:t xml:space="preserve"> </w:t>
      </w:r>
      <w:r>
        <w:t xml:space="preserve"> </w:t>
      </w:r>
      <w:r>
        <w:t xml:space="preserve">A municipality may establish reasonable criteria and standards of job performance to be used for the purpose of determining when the employment of municipal employees should be terminated.  These criteria and standards are subject to all of the provisions included under </w:t>
      </w:r>
      <w:r>
        <w:t>Title 5, section 4575,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Normal retirement age.</w:t>
        <w:t xml:space="preserve"> </w:t>
      </w:r>
      <w:r>
        <w:t xml:space="preserve"> </w:t>
      </w:r>
      <w:r>
        <w:t xml:space="preserve">This section shall not be construed to prohibit the use of a "normal retirement age," as defined in the United States Employee Retirement Income Security Act of 1974, Public Law 93-406, as amended, in computing pension or retirement benefits, provided that normal retirement age and the accrual or awarding of pension or retirement benefits may not be used in any way to require the retirement of an employee or to deny employment to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Federal requirements.</w:t>
        <w:t xml:space="preserve"> </w:t>
      </w:r>
      <w:r>
        <w:t xml:space="preserve"> </w:t>
      </w:r>
      <w:r>
        <w:t xml:space="preserve">This section shall not be construed to affect or limit any power or duty relating to pension or retirement plans which the Federal Government reserves to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§2704. Mandatory retirement age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Mandatory retirement age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§2704. MANDATORY RETIREMENT AGE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