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Civil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Civil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§282. CIVIL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