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Safe zones designated by municipality</w:t>
      </w:r>
    </w:p>
    <w:p>
      <w:pPr>
        <w:jc w:val="both"/>
        <w:spacing w:before="100" w:after="100"/>
        <w:ind w:start="360"/>
        <w:ind w:firstLine="360"/>
      </w:pPr>
      <w:r>
        <w:rPr/>
      </w:r>
      <w:r>
        <w:rPr/>
      </w:r>
      <w:r>
        <w:t xml:space="preserve">A municipality may designate an area of the municipality that is frequented by minors as a safe zone under </w:t>
      </w:r>
      <w:r>
        <w:t>Title 17‑A, section 1101, subsection 23</w:t>
      </w:r>
      <w:r>
        <w:t xml:space="preserve">.  A safe zone designated pursuant to this section must be conspicuously marked by the municipality with an informational sign using wording provided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415,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§3253. Safe zones designated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Safe zones designated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§3253. SAFE ZONES DESIGNATED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