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§3539. Changes in district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§3539. CHANGES IN DISTRICT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