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Municipal licensing authority</w:t>
      </w:r>
    </w:p>
    <w:p>
      <w:pPr>
        <w:jc w:val="both"/>
        <w:spacing w:before="100" w:after="100"/>
        <w:ind w:start="360"/>
        <w:ind w:firstLine="360"/>
      </w:pPr>
      <w:r>
        <w:rPr/>
      </w:r>
      <w:r>
        <w:rPr/>
      </w:r>
      <w:r>
        <w:t xml:space="preserve">The municipal officers are the licensing authority of a municipality, unless otherwise provided by charter, ordinance or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§3701. Municipal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Municipal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§3701. MUNICIPAL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