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w:t>
        <w:t xml:space="preserve">.  </w:t>
      </w:r>
      <w:r>
        <w:rPr>
          <w:b/>
        </w:rPr>
        <w:t xml:space="preserve">Standards of equipment in mobile homes</w:t>
      </w:r>
    </w:p>
    <w:p>
      <w:pPr>
        <w:jc w:val="both"/>
        <w:spacing w:before="100" w:after="100"/>
        <w:ind w:start="360"/>
        <w:ind w:firstLine="360"/>
      </w:pPr>
      <w:r>
        <w:rPr/>
      </w:r>
      <w:r>
        <w:rPr/>
      </w:r>
      <w:r>
        <w:t xml:space="preserve">No person engaged in the business of selling mobile homes may sell any mobile home which contains electrical equipment that does not conform to the standards of the National Electrical Code and of the Underwriters' Laboratories, Inc.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§4163. Standards of equipment in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 Standards of equipment in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§4163. STANDARDS OF EQUIPMENT IN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