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§4347-A. Review of programs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§4347-A. Review of programs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§4347-A. REVIEW OF PROGRAMS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