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§4743. Housing rentals and tenant admissions; veteran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Housing rentals and tenant admissions; veteran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§4743. HOUSING RENTALS AND TENANT ADMISSIONS; VETERAN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