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4936</w:t>
        <w:t xml:space="preserve">.  </w:t>
      </w:r>
      <w:r>
        <w:rPr>
          <w:b/>
        </w:rPr>
        <w:t xml:space="preserve">Rulemaking</w:t>
      </w:r>
    </w:p>
    <w:p>
      <w:pPr>
        <w:jc w:val="both"/>
        <w:spacing w:before="100" w:after="100"/>
        <w:ind w:start="360"/>
        <w:ind w:firstLine="360"/>
      </w:pPr>
      <w:r>
        <w:rPr/>
      </w:r>
      <w:r>
        <w:rPr/>
      </w:r>
      <w:r>
        <w:t xml:space="preserve">In order to implement and administer the Housing Mortgage Insurance Law, the Maine State Housing Authority may enact, amend or repeal rules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§4936.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