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Director; qualifications; tenure; compensation; powers and duties</w:t>
      </w:r>
    </w:p>
    <w:p>
      <w:pPr>
        <w:jc w:val="both"/>
        <w:spacing w:before="100" w:after="100"/>
        <w:ind w:start="360"/>
        <w:ind w:firstLine="360"/>
      </w:pPr>
      <w:r>
        <w:rPr/>
      </w:r>
      <w:r>
        <w:rPr/>
      </w:r>
      <w:r>
        <w:t xml:space="preserve">At the time of appointment, the director must be a person familiar with the principles, methods and techniques of public personnel administration on the merit basis.  The director's tenure of office is at the will of the personnel board and the director shall receive the compensation set by the board with the county commissioners' approval.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director shall administer and make effective this subchapter and the rules of the personnel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 Director; qualifications; tenure; compensation;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Director; qualifications; tenure; compensation;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 DIRECTOR; QUALIFICATIONS; TENURE; COMPENSATION;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