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Payment out of treasury</w:t>
      </w:r>
    </w:p>
    <w:p>
      <w:pPr>
        <w:jc w:val="both"/>
        <w:spacing w:before="100" w:after="100"/>
        <w:ind w:start="360"/>
        <w:ind w:firstLine="360"/>
      </w:pPr>
      <w:r>
        <w:rPr/>
      </w:r>
      <w:r>
        <w:rPr/>
      </w:r>
      <w:r>
        <w:t xml:space="preserve">The treasurer of any municipality shall not pay out any funds for an account or claim against the municipality unless the account or claim is itemized and declared to be a public record.  Notwithstanding </w:t>
      </w:r>
      <w:r>
        <w:t>Title 17‑A, section 4‑A</w:t>
      </w:r>
      <w:r>
        <w:t xml:space="preserve">, violation of this section is a Class E crime, punishable by a fine of not more than $300 or by imprisonment for not more than 30 days,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§5604. Payment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Payment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§5604. PAYMENT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