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§5705. Refinancing of the United States Farmers Home Administration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Refinancing of the United States Farmers Home Administration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§5705. REFINANCING OF THE UNITED STATES FARMERS HOME ADMINISTRATION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