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5730</w:t>
        <w:t xml:space="preserve">.  </w:t>
      </w:r>
      <w:r>
        <w:rPr>
          <w:b/>
        </w:rPr>
        <w:t xml:space="preserve">Historic and scenic preservation</w:t>
      </w:r>
    </w:p>
    <w:p>
      <w:pPr>
        <w:jc w:val="both"/>
        <w:spacing w:before="100" w:after="100"/>
        <w:ind w:start="360"/>
        <w:ind w:firstLine="360"/>
      </w:pPr>
      <w:r>
        <w:rPr/>
      </w:r>
      <w:r>
        <w:rPr/>
      </w:r>
      <w:r>
        <w:t xml:space="preserve">Pursuant to the Constitution of Maine, </w:t>
      </w:r>
      <w:r>
        <w:t>Article IX, Section 8, Subsection 5</w:t>
      </w:r>
      <w:r>
        <w:t xml:space="preserve">, a municipality may raise or appropriate money to reimburse taxpayers for a portion of taxes paid under </w:t>
      </w:r>
      <w:r>
        <w:t>Title 36, Par</w:t>
      </w:r>
      <w:r>
        <w:t xml:space="preserve">t 2 on real property if the property owner agrees to maintain the property in accordance with criteria that are adopted by ordinance by the governing legislative body of the municipality and that provide for maintaining the historic integrity of important structures or providing a scenic view.  The Maine Historic Preservation Commission shall provide guidance, if requested by a municipality, in implementing this section.</w:t>
      </w:r>
      <w:r>
        <w:t xml:space="preserve">  </w:t>
      </w:r>
      <w:r xmlns:wp="http://schemas.openxmlformats.org/drawingml/2010/wordprocessingDrawing" xmlns:w15="http://schemas.microsoft.com/office/word/2012/wordml">
        <w:rPr>
          <w:rFonts w:ascii="Arial" w:hAnsi="Arial" w:cs="Arial"/>
          <w:sz w:val="22"/>
          <w:szCs w:val="22"/>
        </w:rPr>
        <w:t xml:space="preserve">[PL 1999,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§5730. Historic and scenic preservation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§5730. Historic and scenic preservation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§5730. HISTORIC AND SCENIC PRESERVATION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