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72. General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2. General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2. GENERAL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