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§6104. AVAILABILITY OF STATE FUNDS FOR PUBLIC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