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7305</w:t>
        <w:t xml:space="preserve">.  </w:t>
      </w:r>
      <w:r>
        <w:rPr>
          <w:b/>
        </w:rPr>
        <w:t xml:space="preserve">Cemetery trust funds</w:t>
      </w:r>
    </w:p>
    <w:p>
      <w:pPr>
        <w:jc w:val="both"/>
        <w:spacing w:before="100" w:after="100"/>
        <w:ind w:start="360"/>
        <w:ind w:firstLine="360"/>
      </w:pPr>
      <w:r>
        <w:rPr/>
      </w:r>
      <w:r>
        <w:rPr/>
      </w:r>
      <w:r>
        <w:t xml:space="preserve">The State Tax Assessor may transfer any cemetery trust funds held by a municipality at the time of deorganization to a cemetery association, provided that association is formed under the laws of the State.  If no such association exists, the State Tax Assessor may transfer the funds to the county commissioners.  These funds are to be retained for the purpose of allowing the interest only to be used in the same manner and for the same purposes for which the fund was originally accepted by the deorganized municipality.  If the funds are in the care and custody of the county commissioners and a cemetery association is subsequently formed, the county commissioners may transfer the funds to the cemetery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§7305. Cemetery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§7305. Cemetery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§7305. CEMETERY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