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Count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Count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 COUNT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