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Insufficient appropriations</w:t>
      </w:r>
    </w:p>
    <w:p>
      <w:pPr>
        <w:jc w:val="both"/>
        <w:spacing w:before="100" w:after="0"/>
        <w:ind w:start="360"/>
        <w:ind w:firstLine="360"/>
      </w:pPr>
      <w:r>
        <w:rPr>
          <w:b/>
        </w:rPr>
        <w:t>1</w:t>
        <w:t xml:space="preserve">.  </w:t>
      </w:r>
      <w:r>
        <w:rPr>
          <w:b/>
        </w:rPr>
        <w:t xml:space="preserve">Transfer of funds within department or agency.</w:t>
        <w:t xml:space="preserve"> </w:t>
      </w:r>
      <w:r>
        <w:t xml:space="preserve"> </w:t>
      </w:r>
      <w:r>
        <w:t xml:space="preserve">Whenever any specific appropriation of a department or agency of county government is insufficient to pay the required expenditures for the statutory purposes for which the appropriation was made, the county commissioners may transfer an amount from any other specific line appropriation of the same department or agency to meet the expenditure, upon the written request of the department or agency.  This request must bear the written approval of a majority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Contingent fund.</w:t>
        <w:t xml:space="preserve"> </w:t>
      </w:r>
      <w:r>
        <w:t xml:space="preserve"> </w:t>
      </w:r>
      <w:r>
        <w:t xml:space="preserve">There is established a contingent account in each county in an amount not to exceed  the greater of 1.5% of the annual county budget or $100,000, except in Sagadahoc County, where the contingent account may not exceed 4% of the annual budget.   Any funds that are available to each county may be used for this purpose.  The contingent fund may be used at the discretion of the county commissioners for emergency purposes only.  At the end of each fiscal year there must be transferred from unencumbered county funds an amount sufficient to restore the established county contingent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241, §1 (AMD).]</w:t>
      </w:r>
    </w:p>
    <w:p>
      <w:pPr>
        <w:jc w:val="both"/>
        <w:spacing w:before="100" w:after="0"/>
        <w:ind w:start="360"/>
        <w:ind w:firstLine="360"/>
      </w:pPr>
      <w:r>
        <w:rPr>
          <w:b/>
        </w:rPr>
        <w:t>3</w:t>
        <w:t xml:space="preserve">.  </w:t>
      </w:r>
      <w:r>
        <w:rPr>
          <w:b/>
        </w:rPr>
        <w:t xml:space="preserve">Record of transfers.</w:t>
        <w:t xml:space="preserve"> </w:t>
      </w:r>
      <w:r>
        <w:t xml:space="preserve"> </w:t>
      </w:r>
      <w:r>
        <w:t xml:space="preserve">The county treasurer shall keep a record of any transfers between specific line categories or from the contingent account.  This record must be certified by the county commissioners within 30 days of each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789, §1 (AMD). PL 1993, c. 343, §1 (AMD). PL 2003, c. 241,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§922. Insufficient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Insufficient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§922. INSUFFICIENT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