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Partnership as entity</w:t>
      </w:r>
    </w:p>
    <w:p>
      <w:pPr>
        <w:jc w:val="both"/>
        <w:spacing w:before="100" w:after="0"/>
        <w:ind w:start="360"/>
        <w:ind w:firstLine="360"/>
      </w:pPr>
      <w:r>
        <w:rPr>
          <w:b/>
        </w:rPr>
        <w:t>1</w:t>
        <w:t xml:space="preserve">.  </w:t>
      </w:r>
      <w:r>
        <w:rPr>
          <w:b/>
        </w:rPr>
        <w:t xml:space="preserve">Distinct from partners.</w:t>
        <w:t xml:space="preserve"> </w:t>
      </w:r>
      <w:r>
        <w:t xml:space="preserve"> </w:t>
      </w:r>
      <w:r>
        <w:t xml:space="preserve">A partnership is an entity distinct from its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A limited liability partnership continues to be the same entity that existed before the filing of a statement of qualification under </w:t>
      </w:r>
      <w:r>
        <w:t>section 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Partnership as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Partnership as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§1021. PARTNERSHIP AS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