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Derivative action</w:t>
      </w:r>
    </w:p>
    <w:p>
      <w:pPr>
        <w:jc w:val="both"/>
        <w:spacing w:before="100" w:after="100"/>
        <w:ind w:start="360"/>
        <w:ind w:firstLine="360"/>
      </w:pPr>
      <w:r>
        <w:rPr/>
      </w:r>
      <w:r>
        <w:rPr/>
      </w:r>
      <w:r>
        <w:t xml:space="preserve">A partner may maintain a derivative action to enforce a right of a limited partnership if:</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Demand for limited partnership to enforce.</w:t>
        <w:t xml:space="preserve"> </w:t>
      </w:r>
      <w:r>
        <w:t xml:space="preserve"> </w:t>
      </w:r>
      <w:r>
        <w:t xml:space="preserve">The partner first makes a demand on the general partners, requesting that they cause the limited partnership to bring an action to enforce the right, and the general partners do not bring the action within a reasonable time;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Demand futile.</w:t>
        <w:t xml:space="preserve"> </w:t>
      </w:r>
      <w:r>
        <w:t xml:space="preserve"> </w:t>
      </w:r>
      <w:r>
        <w:t xml:space="preserve">A demand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§1422. Derivative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Derivative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§1422. DERIVATIVE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