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Power to bind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Power to bind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§1541. POWER TO BIND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