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11040</w:t>
        <w:t xml:space="preserve">.  </w:t>
      </w:r>
      <w:r>
        <w:rPr>
          <w:b/>
        </w:rPr>
        <w:t xml:space="preserve">Penalty</w:t>
      </w:r>
    </w:p>
    <w:p>
      <w:pPr>
        <w:jc w:val="both"/>
        <w:spacing w:before="100" w:after="100"/>
        <w:ind w:start="360"/>
        <w:ind w:firstLine="360"/>
      </w:pPr>
      <w:r>
        <w:rPr/>
      </w:r>
      <w:r>
        <w:rPr/>
      </w:r>
      <w:r>
        <w:t xml:space="preserve">Any person who carries on business as a debt collector without first obtaining a license pursuant to this subchapter, or who carries on that business after the revocation, suspension or expiration of any license, or who performs duties relating to the conduct of a debt collector on behalf of another person as an officer, director, employee, agent or in any other capacity, unless the other person has first obtained a license which has not expired, but been revoked nor suspended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