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13178</w:t>
        <w:t xml:space="preserve">.  </w:t>
      </w:r>
      <w:r>
        <w:rPr>
          <w:b/>
        </w:rPr>
        <w:t xml:space="preserve">Trust accounts</w:t>
      </w:r>
    </w:p>
    <w:p>
      <w:pPr>
        <w:jc w:val="both"/>
        <w:spacing w:before="100" w:after="100"/>
        <w:ind w:start="360"/>
        <w:ind w:firstLine="360"/>
      </w:pPr>
      <w:r>
        <w:rPr/>
      </w:r>
      <w:r>
        <w:rPr/>
      </w:r>
      <w:r>
        <w:t xml:space="preserve">Every agency shall maintain a federally insured account or accounts in a financial institution authorized to do business in this State, as defined in </w:t>
      </w:r>
      <w:r>
        <w:t>Title 9‑B, section 131, subsection 17‑A</w:t>
      </w:r>
      <w:r>
        <w:t xml:space="preserve">, or a credit union authorized to do business in this State, as defined in </w:t>
      </w:r>
      <w:r>
        <w:t>Title 9‑B, section 131, subsection 12‑A</w:t>
      </w:r>
      <w:r>
        <w:t xml:space="preserve">, for the sole purpose of depositing all earnest money deposits and all other money held by it as an agency in which its clients or other persons with whom it is dealing have an interest. The trust account and withdrawal orders, including all checks drawn on the account, must name the subject agency and be identified as a real estate trust account. Real estate trust accounts must be free from trustee process, except by those persons for whom the brokerage agency has made the deposits and then only to the extent of the interest. The designated broker, except for an amount necessary to maintain the accounts not to exceed an amount prescribed by commission rule, shall withdraw from the accounts all fees due within 30 days after but not until consummation or termination of the transaction when the designated broker makes or causes to be made a full accounting to the broker's principal. The designated broker shall maintain trust accounts and supporting records in a manner prescribed by commission rule. These accounts and records must be open for inspection by the director or the director's authorized representative at the agency's place of business during generally recognized business hours. Upon order of the director, the designated broker shall authorize the director in writing to confirm the balance of funds held in all agency trust accounts.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378, §5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§5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§13178. Trust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§13178. Trust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§13178. TRUST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