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13825</w:t>
        <w:t xml:space="preserve">.  </w:t>
      </w:r>
      <w:r>
        <w:rPr>
          <w:b/>
        </w:rPr>
        <w:t xml:space="preserve">Confidentiality</w:t>
      </w:r>
    </w:p>
    <w:p>
      <w:pPr>
        <w:jc w:val="both"/>
        <w:spacing w:before="100" w:after="100"/>
        <w:ind w:start="360"/>
        <w:ind w:firstLine="360"/>
      </w:pPr>
      <w:r>
        <w:rPr/>
      </w:r>
      <w:r>
        <w:rPr/>
      </w:r>
      <w:r>
        <w:t xml:space="preserve">Nothing in this subchapter affects the provisions of law relating to maintaining the confidentiality of medical records.</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