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13854</w:t>
        <w:t xml:space="preserve">.  </w:t>
      </w:r>
      <w:r>
        <w:rPr>
          <w:b/>
        </w:rPr>
        <w:t xml:space="preserve">Licensing</w:t>
      </w:r>
    </w:p>
    <w:p>
      <w:pPr>
        <w:jc w:val="both"/>
        <w:spacing w:before="100" w:after="0"/>
        <w:ind w:start="360"/>
        <w:ind w:firstLine="360"/>
      </w:pPr>
      <w:r>
        <w:rPr>
          <w:b/>
        </w:rPr>
        <w:t>1</w:t>
        <w:t xml:space="preserve">.  </w:t>
      </w:r>
      <w:r>
        <w:rPr>
          <w:b/>
        </w:rPr>
        <w:t xml:space="preserve">Licensing.</w:t>
        <w:t xml:space="preserve"> </w:t>
      </w:r>
      <w:r>
        <w:t xml:space="preserve"> </w:t>
      </w:r>
      <w:r>
        <w:t xml:space="preserve">A person may not, unless specifically exempted by this chapter, be engaged in the practice of professional counseling or profess to the public to be a, or assume or use the title or designation of, clinical professional counselor, professional counselor, marriage and family therapist, licensed pastoral counselor, registered counselor or conditional license holder or assume or use the abbreviation "LP," "CC," "MF," "PC" or "RC" or any other title, designation, words, letters or device tending to indicate that such a person is licensed or registered, unless that person is licensed or registered with and holds a current valid license or registration from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233, §4 (RPR); PL 2021, c. 233, §6 (AFF).]</w:t>
      </w:r>
    </w:p>
    <w:p>
      <w:pPr>
        <w:jc w:val="both"/>
        <w:spacing w:before="100" w:after="0"/>
        <w:ind w:start="360"/>
        <w:ind w:firstLine="360"/>
      </w:pPr>
      <w:r>
        <w:rPr>
          <w:b/>
        </w:rPr>
        <w:t>2</w:t>
        <w:t xml:space="preserve">.  </w:t>
      </w:r>
      <w:r>
        <w:rPr>
          <w:b/>
        </w:rPr>
        <w:t xml:space="preserve">Individual licensing.</w:t>
        <w:t xml:space="preserve"> </w:t>
      </w:r>
      <w:r>
        <w:t xml:space="preserve"> </w:t>
      </w:r>
      <w:r>
        <w:t xml:space="preserve">Only an individual may be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w:t>
      </w:r>
    </w:p>
    <w:p>
      <w:pPr>
        <w:jc w:val="both"/>
        <w:spacing w:before="100" w:after="0"/>
        <w:ind w:start="360"/>
        <w:ind w:firstLine="360"/>
      </w:pPr>
      <w:r>
        <w:rPr>
          <w:b/>
        </w:rPr>
        <w:t>3</w:t>
        <w:t xml:space="preserve">.  </w:t>
      </w:r>
      <w:r>
        <w:rPr>
          <w:b/>
        </w:rPr>
        <w:t xml:space="preserve">Unlicensed practice.</w:t>
        <w:t xml:space="preserve"> </w:t>
      </w:r>
      <w:r>
        <w:t xml:space="preserve"> </w:t>
      </w:r>
      <w:r>
        <w:t xml:space="preserve">A person who violates </w:t>
      </w:r>
      <w:r>
        <w:t>subsection 1</w:t>
      </w:r>
      <w:r>
        <w:t xml:space="preserve"> is subject to the provisions of </w:t>
      </w:r>
      <w:r>
        <w:t>Title 10, section 8003‑C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EE, §4 (AMD).]</w:t>
      </w:r>
    </w:p>
    <w:p>
      <w:pPr>
        <w:jc w:val="both"/>
        <w:spacing w:before="100" w:after="0"/>
        <w:ind w:start="360"/>
        <w:ind w:firstLine="360"/>
      </w:pPr>
      <w:r>
        <w:rPr>
          <w:b/>
        </w:rPr>
        <w:t>4</w:t>
        <w:t xml:space="preserve">.  </w:t>
      </w:r>
      <w:r>
        <w:rPr>
          <w:b/>
        </w:rPr>
        <w:t xml:space="preserve">Unfair trade practice.</w:t>
        <w:t xml:space="preserve"> </w:t>
      </w:r>
      <w:r>
        <w:t xml:space="preserve"> </w:t>
      </w:r>
      <w:r>
        <w:t xml:space="preserve">A violation of </w:t>
      </w:r>
      <w:r>
        <w:t>subsection 1</w:t>
      </w:r>
      <w:r>
        <w:t xml:space="preserve"> is an unfair trade practice in violation of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233, §5 (NEW); PL 2021, c. 233,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895, §§1,22 (AFF). PL 1989, c. 895, §7 (AMD). PL 1991, c. 263, §§5,6 (AFF). PL 1999, c. 547, §B78 (AMD). PL 1999, c. 547, §B80 (AFF). PL 2001, c. 421, §§B102,103 (AMD). PL 2001, c. 421, §B103 (AMD). PL 2001, c. 421, §C1 (AFF). PL 2007, c. 402, Pt. EE, §4 (AMD). PL 2021, c. 233, §§4, 5 (AMD). PL 2021, c. 233,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§13854.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§13854.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§13854.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